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sz w:val="44"/>
          <w:szCs w:val="44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年末发行的新增地方政府专项债券资金收支情况表</w:t>
      </w:r>
    </w:p>
    <w:p>
      <w:pPr>
        <w:widowControl/>
        <w:jc w:val="left"/>
        <w:rPr>
          <w:rFonts w:ascii="Times New Roman" w:hAnsi="Times New Roman"/>
          <w:sz w:val="20"/>
          <w:szCs w:val="20"/>
        </w:rPr>
      </w:pPr>
    </w:p>
    <w:p>
      <w:pPr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金额单位：亿元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68"/>
        <w:gridCol w:w="1142"/>
        <w:gridCol w:w="4352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年末新增专项债券资金收入</w:t>
            </w:r>
          </w:p>
        </w:tc>
        <w:tc>
          <w:tcPr>
            <w:tcW w:w="5156" w:type="dxa"/>
            <w:gridSpan w:val="2"/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债券名称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支出功能分类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2023年广西壮族自治区政府交通基础设施专项债券（二期）——2023年广西壮族自治区政府专项债券（十三期）</w:t>
            </w:r>
          </w:p>
        </w:tc>
        <w:tc>
          <w:tcPr>
            <w:tcW w:w="114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4352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229 其他支出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85F00"/>
    <w:rsid w:val="53C8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2024-06-27T08:45:00Z</dcterms:created>
  <dc:creator>唐宁霞</dc:creator>
  <cp:lastModifiedBy>唐宁霞</cp:lastModifiedBy>
  <dcterms:modified xsi:type="dcterms:W3CDTF">2024-06-27T08:47:06Z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D0057182BC1347FABC54147AC9D8925A</vt:lpwstr>
  </property>
</Properties>
</file>